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D1A0A" w14:textId="214B783D" w:rsidR="00302810" w:rsidRPr="00FC662E" w:rsidRDefault="00302810" w:rsidP="00302810">
      <w:pPr>
        <w:jc w:val="right"/>
        <w:rPr>
          <w:rFonts w:ascii="Arial" w:hAnsi="Arial" w:cs="Arial"/>
          <w:b/>
          <w:i/>
          <w:snapToGrid w:val="0"/>
        </w:rPr>
      </w:pPr>
      <w:bookmarkStart w:id="0" w:name="_GoBack"/>
      <w:bookmarkEnd w:id="0"/>
    </w:p>
    <w:p w14:paraId="1D0D686D" w14:textId="77777777" w:rsidR="00302810" w:rsidRDefault="00302810" w:rsidP="001F65EE">
      <w:pPr>
        <w:ind w:left="360" w:firstLine="0"/>
        <w:jc w:val="center"/>
        <w:rPr>
          <w:rFonts w:ascii="Arial" w:hAnsi="Arial" w:cs="Arial"/>
          <w:b/>
        </w:rPr>
      </w:pPr>
    </w:p>
    <w:p w14:paraId="627FB1C0" w14:textId="14946C5A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689BE11B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832C0C">
        <w:rPr>
          <w:rFonts w:ascii="Arial" w:eastAsia="Times New Roman" w:hAnsi="Arial" w:cs="Arial"/>
          <w:lang w:eastAsia="pl-PL"/>
        </w:rPr>
        <w:t>ANWIL S.A.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7CC1E941" w:rsidR="00815CAA" w:rsidRPr="006A3DA1" w:rsidRDefault="00832C0C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ANWIL S.A.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</w:t>
      </w:r>
      <w:r w:rsidR="00FF3CD3">
        <w:rPr>
          <w:rFonts w:ascii="Arial" w:eastAsia="Times New Roman" w:hAnsi="Arial" w:cs="Arial"/>
          <w:lang w:eastAsia="pl-PL"/>
        </w:rPr>
        <w:t> </w:t>
      </w:r>
      <w:r w:rsidR="00815CAA" w:rsidRPr="006A3DA1">
        <w:rPr>
          <w:rFonts w:ascii="Arial" w:eastAsia="Times New Roman" w:hAnsi="Arial" w:cs="Arial"/>
          <w:lang w:eastAsia="pl-PL"/>
        </w:rPr>
        <w:t>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34A39A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2</w:t>
      </w:r>
    </w:p>
    <w:p w14:paraId="036A13F0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178B9AF5" w14:textId="77777777" w:rsidR="006977CC" w:rsidRPr="00042693" w:rsidRDefault="006977CC" w:rsidP="009F192C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 xml:space="preserve">Druga strona umowy jest przedsiębiorstwem, którego instrumenty finansowe są notowane na giełdzie papierów wartościowych w państwie członkowskim Unii Europejskiej.  </w:t>
      </w:r>
    </w:p>
    <w:p w14:paraId="61C46864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75C8BD0F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3109F23E" w14:textId="77777777" w:rsidR="006977CC" w:rsidRPr="006A3DA1" w:rsidRDefault="006977CC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23054DF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52CEF37F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 xml:space="preserve">, będącym podmiotem dominującym względem </w:t>
      </w:r>
      <w:r w:rsidR="00832C0C">
        <w:rPr>
          <w:rFonts w:ascii="Arial" w:eastAsia="Times New Roman" w:hAnsi="Arial" w:cs="Arial"/>
          <w:lang w:eastAsia="pl-PL"/>
        </w:rPr>
        <w:t xml:space="preserve">ANWIL S.A. </w:t>
      </w:r>
      <w:r w:rsidR="00B45A41">
        <w:rPr>
          <w:rFonts w:ascii="Arial" w:eastAsia="Times New Roman" w:hAnsi="Arial" w:cs="Arial"/>
          <w:lang w:eastAsia="pl-PL"/>
        </w:rPr>
        <w:t xml:space="preserve">oraz na ………………. </w:t>
      </w:r>
      <w:r w:rsidR="00B45A41" w:rsidRPr="000469FB">
        <w:rPr>
          <w:rFonts w:ascii="Arial" w:eastAsia="Times New Roman" w:hAnsi="Arial" w:cs="Arial"/>
          <w:i/>
          <w:lang w:eastAsia="pl-PL"/>
        </w:rPr>
        <w:t>(nazwa podmiotu będącego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F31A80">
      <w:pPr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F31A80">
      <w:p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F31A80" w:rsidRDefault="00E46A13" w:rsidP="008E2F1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F31A80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7BD6A1B" w14:textId="77777777" w:rsidR="006977CC" w:rsidRPr="006A3DA1" w:rsidRDefault="006977CC" w:rsidP="008E2F16">
      <w:pPr>
        <w:tabs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8E2F16" w:rsidRDefault="006977CC" w:rsidP="008E2F16">
      <w:pPr>
        <w:pStyle w:val="Akapitzlist"/>
        <w:numPr>
          <w:ilvl w:val="0"/>
          <w:numId w:val="6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E2F16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219CAB07" w:rsidR="00DA443F" w:rsidRPr="00DB563F" w:rsidRDefault="00DA443F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Na ORLEN S.A, będącym podmiotem dominującym względem</w:t>
      </w:r>
      <w:r w:rsidR="00832C0C">
        <w:rPr>
          <w:rFonts w:ascii="Arial" w:eastAsia="Times New Roman" w:hAnsi="Arial" w:cs="Arial"/>
          <w:sz w:val="20"/>
          <w:szCs w:val="20"/>
          <w:lang w:eastAsia="pl-PL"/>
        </w:rPr>
        <w:t xml:space="preserve"> ANWIL S.A.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</w:t>
      </w:r>
      <w:r w:rsidR="00FF3CD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sprawie nadużyć na rynku) oraz </w:t>
      </w:r>
      <w:r w:rsidR="009135E1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uchylającym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dyrektywę 2003/6/WE Parlamentu Europejskiego i Rady i dyrektywy Komisji 2003/124/WE, 2003/125/WE i 2004/72/WE </w:t>
      </w:r>
      <w:r w:rsidR="00EA368E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z późn. zm.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(dalej „Rozporządzenie MAR”).</w:t>
      </w:r>
    </w:p>
    <w:p w14:paraId="160F48A9" w14:textId="77777777" w:rsidR="009D4422" w:rsidRPr="00DB563F" w:rsidRDefault="009D4422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634918" w14:textId="50D72851" w:rsidR="00815CAA" w:rsidRPr="00DB563F" w:rsidRDefault="00815CA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W związku z tym, stosując przepisy </w:t>
      </w:r>
      <w:r w:rsidR="009135E1" w:rsidRPr="00DB563F">
        <w:rPr>
          <w:rFonts w:ascii="Arial" w:eastAsia="Times New Roman" w:hAnsi="Arial" w:cs="Arial"/>
          <w:sz w:val="20"/>
          <w:szCs w:val="20"/>
          <w:lang w:eastAsia="pl-PL"/>
        </w:rPr>
        <w:t>powyższego rozporządzenia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2F8056B" w14:textId="77777777" w:rsidR="00E5496A" w:rsidRPr="00DB563F" w:rsidRDefault="00E5496A" w:rsidP="00BC10DF">
      <w:pPr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F4C2B2" w14:textId="586A4053" w:rsidR="00815CAA" w:rsidRPr="00DB563F" w:rsidRDefault="00832C0C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ANWIL S.A.</w:t>
      </w:r>
      <w:r w:rsidR="00C33841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poinformuje drugą stronę umowy, iż w wyniku wykonywania zadań dla </w:t>
      </w:r>
      <w:r>
        <w:rPr>
          <w:rFonts w:ascii="Arial" w:eastAsia="Times New Roman" w:hAnsi="Arial" w:cs="Arial"/>
          <w:sz w:val="20"/>
          <w:szCs w:val="20"/>
          <w:lang w:eastAsia="pl-PL"/>
        </w:rPr>
        <w:t>ANWIL S.A.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weszła ona w posiadanie informacji poufnej w rozumieniu rozporządzenia MAR, którą to informację PKN ORLEN</w:t>
      </w:r>
      <w:r w:rsidR="00F40E3B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S.A.</w:t>
      </w:r>
      <w:r w:rsidR="00815CA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 przekaże niezwłocznie lub z opóźnieniem do publicznej wiadomości.</w:t>
      </w:r>
    </w:p>
    <w:p w14:paraId="7193AF6D" w14:textId="77777777" w:rsidR="008310E8" w:rsidRPr="00DB563F" w:rsidRDefault="008310E8" w:rsidP="008310E8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5A0B8B" w14:textId="529096FA" w:rsidR="004848AD" w:rsidRPr="00DB563F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DB563F" w:rsidRDefault="00F40E3B" w:rsidP="009D4422">
      <w:pPr>
        <w:ind w:left="284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1DD25C" w14:textId="77777777" w:rsidR="00F40E3B" w:rsidRPr="00DB563F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DB563F" w:rsidRDefault="00F40E3B" w:rsidP="00BC10DF">
      <w:pPr>
        <w:pStyle w:val="Akapitzlist"/>
        <w:ind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D40B4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DB563F" w:rsidRDefault="00F40E3B" w:rsidP="009D4422">
      <w:pPr>
        <w:pStyle w:val="Akapitzlist"/>
        <w:ind w:left="709" w:firstLine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1B65E4" w14:textId="7A2D55BC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</w:t>
      </w:r>
      <w:r w:rsidR="00FF3CD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razie wykorzystywania informacji poufnych i bezprawnego ich ujawniania. </w:t>
      </w:r>
    </w:p>
    <w:p w14:paraId="4F20CC2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448C12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63C6A8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DB563F" w:rsidRDefault="00F40E3B" w:rsidP="009D4422">
      <w:pPr>
        <w:pStyle w:val="Akapitzlist"/>
        <w:ind w:left="709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BEF79D" w14:textId="77777777" w:rsidR="00F40E3B" w:rsidRPr="00DB563F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sz w:val="20"/>
          <w:szCs w:val="20"/>
          <w:lang w:eastAsia="pl-PL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DB563F" w:rsidRDefault="00815CAA" w:rsidP="00BC10DF">
      <w:pPr>
        <w:rPr>
          <w:rFonts w:ascii="Arial" w:hAnsi="Arial" w:cs="Arial"/>
          <w:sz w:val="20"/>
          <w:szCs w:val="20"/>
        </w:rPr>
      </w:pPr>
    </w:p>
    <w:p w14:paraId="19A23E85" w14:textId="77777777" w:rsidR="0037699C" w:rsidRPr="00DB563F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0"/>
          <w:szCs w:val="20"/>
        </w:rPr>
      </w:pPr>
      <w:r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Format listy osób mających dostęp do informacji poufnych określa </w:t>
      </w:r>
      <w:r w:rsidR="00D5561A" w:rsidRPr="00DB563F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Wykonawcze Komisji </w:t>
      </w:r>
      <w:r w:rsidRPr="00DB563F">
        <w:rPr>
          <w:rFonts w:ascii="Arial" w:eastAsia="Times New Roman" w:hAnsi="Arial" w:cs="Arial"/>
          <w:sz w:val="20"/>
          <w:szCs w:val="20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DB563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sectPr w:rsidR="0037699C" w:rsidRPr="00DB563F" w:rsidSect="003265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E8771" w14:textId="77777777" w:rsidR="00A3121C" w:rsidRDefault="00A3121C" w:rsidP="00A56C6C">
      <w:r>
        <w:separator/>
      </w:r>
    </w:p>
  </w:endnote>
  <w:endnote w:type="continuationSeparator" w:id="0">
    <w:p w14:paraId="24402625" w14:textId="77777777" w:rsidR="00A3121C" w:rsidRDefault="00A3121C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A967F" w14:textId="77777777" w:rsidR="00584FD4" w:rsidRDefault="00584F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5817F8C1" w14:textId="1048BA91" w:rsidR="00302810" w:rsidRPr="00DB1197" w:rsidRDefault="00302810" w:rsidP="00302810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302810">
          <w:rPr>
            <w:rFonts w:ascii="Arial" w:hAnsi="Arial" w:cs="Arial"/>
            <w:sz w:val="16"/>
            <w:szCs w:val="16"/>
          </w:rPr>
          <w:t xml:space="preserve"> </w:t>
        </w:r>
        <w:sdt>
          <w:sdtPr>
            <w:rPr>
              <w:rFonts w:ascii="Arial" w:hAnsi="Arial" w:cs="Arial"/>
              <w:sz w:val="16"/>
              <w:szCs w:val="16"/>
            </w:rPr>
            <w:id w:val="-849875555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rFonts w:ascii="Arial" w:hAnsi="Arial" w:cs="Arial"/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Strona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PAGE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2C7D2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  <w:r w:rsidRPr="00DB1197">
                  <w:rPr>
                    <w:rFonts w:ascii="Arial" w:hAnsi="Arial" w:cs="Arial"/>
                    <w:sz w:val="16"/>
                    <w:szCs w:val="16"/>
                  </w:rPr>
                  <w:t xml:space="preserve"> z 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begin"/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instrText>NUMPAGES</w:instrTex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separate"/>
                </w:r>
                <w:r w:rsidR="002C7D2C">
                  <w:rPr>
                    <w:rFonts w:ascii="Arial" w:hAnsi="Arial" w:cs="Arial"/>
                    <w:b/>
                    <w:bCs/>
                    <w:noProof/>
                    <w:sz w:val="16"/>
                    <w:szCs w:val="16"/>
                  </w:rPr>
                  <w:t>3</w:t>
                </w:r>
                <w:r w:rsidRPr="00DB1197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fldChar w:fldCharType="end"/>
                </w:r>
              </w:sdtContent>
            </w:sdt>
          </w:sdtContent>
        </w:sdt>
      </w:p>
      <w:p w14:paraId="2A532141" w14:textId="546A83E4" w:rsidR="00A56C6C" w:rsidRDefault="00A3121C">
        <w:pPr>
          <w:pStyle w:val="Stopka"/>
          <w:jc w:val="center"/>
        </w:pP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D6112" w14:textId="77777777" w:rsidR="00584FD4" w:rsidRDefault="0058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38210" w14:textId="77777777" w:rsidR="00A3121C" w:rsidRDefault="00A3121C" w:rsidP="00A56C6C">
      <w:r>
        <w:separator/>
      </w:r>
    </w:p>
  </w:footnote>
  <w:footnote w:type="continuationSeparator" w:id="0">
    <w:p w14:paraId="70484F18" w14:textId="77777777" w:rsidR="00A3121C" w:rsidRDefault="00A3121C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99F23" w14:textId="77777777" w:rsidR="00584FD4" w:rsidRDefault="00584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27B6E" w14:textId="6ED54158" w:rsidR="001F5A89" w:rsidRPr="003378CD" w:rsidRDefault="001F5A89" w:rsidP="001F5A89">
    <w:pPr>
      <w:spacing w:after="80"/>
      <w:rPr>
        <w:rFonts w:ascii="Arial" w:eastAsia="Calibri" w:hAnsi="Arial"/>
        <w:sz w:val="20"/>
        <w:szCs w:val="20"/>
      </w:rPr>
    </w:pPr>
    <w:r w:rsidRPr="003378CD">
      <w:rPr>
        <w:rFonts w:ascii="Arial" w:eastAsia="Calibri" w:hAnsi="Arial"/>
        <w:sz w:val="20"/>
        <w:szCs w:val="20"/>
      </w:rPr>
      <w:t xml:space="preserve">Zarządzenie nr </w:t>
    </w:r>
    <w:r w:rsidR="00202386">
      <w:rPr>
        <w:rFonts w:ascii="Arial" w:eastAsia="Calibri" w:hAnsi="Arial"/>
        <w:sz w:val="20"/>
        <w:szCs w:val="20"/>
      </w:rPr>
      <w:t>18</w:t>
    </w:r>
    <w:r w:rsidRPr="003378CD">
      <w:rPr>
        <w:rFonts w:ascii="Arial" w:eastAsia="Calibri" w:hAnsi="Arial"/>
        <w:sz w:val="20"/>
        <w:szCs w:val="20"/>
      </w:rPr>
      <w:t xml:space="preserve">/2021                                                                                    Załącznik nr </w:t>
    </w:r>
    <w:r w:rsidR="00584FD4">
      <w:rPr>
        <w:rFonts w:ascii="Arial" w:eastAsia="Calibri" w:hAnsi="Arial"/>
        <w:sz w:val="20"/>
        <w:szCs w:val="20"/>
      </w:rPr>
      <w:t>3</w:t>
    </w:r>
  </w:p>
  <w:p w14:paraId="1597BB0D" w14:textId="1AC50042" w:rsidR="00A56C6C" w:rsidRPr="00302810" w:rsidRDefault="00A56C6C" w:rsidP="003028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EAEAB4" w14:textId="77777777" w:rsidR="00584FD4" w:rsidRDefault="00584F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67822081"/>
    <w:multiLevelType w:val="multilevel"/>
    <w:tmpl w:val="79EE1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B0566"/>
    <w:rsid w:val="000E1CCE"/>
    <w:rsid w:val="000E3F90"/>
    <w:rsid w:val="00145C5D"/>
    <w:rsid w:val="001E6FC9"/>
    <w:rsid w:val="001F5A89"/>
    <w:rsid w:val="001F65EE"/>
    <w:rsid w:val="00202386"/>
    <w:rsid w:val="0025663C"/>
    <w:rsid w:val="002C7D2C"/>
    <w:rsid w:val="002D4DBB"/>
    <w:rsid w:val="002F1205"/>
    <w:rsid w:val="00302810"/>
    <w:rsid w:val="00326516"/>
    <w:rsid w:val="003378CD"/>
    <w:rsid w:val="0037699C"/>
    <w:rsid w:val="003811DE"/>
    <w:rsid w:val="003D1F22"/>
    <w:rsid w:val="00450028"/>
    <w:rsid w:val="004841B7"/>
    <w:rsid w:val="004848AD"/>
    <w:rsid w:val="004A267E"/>
    <w:rsid w:val="00516316"/>
    <w:rsid w:val="00522709"/>
    <w:rsid w:val="0053710B"/>
    <w:rsid w:val="005466D6"/>
    <w:rsid w:val="0056188B"/>
    <w:rsid w:val="00584FD4"/>
    <w:rsid w:val="005D11A1"/>
    <w:rsid w:val="0060605B"/>
    <w:rsid w:val="00637743"/>
    <w:rsid w:val="00637F81"/>
    <w:rsid w:val="006977CC"/>
    <w:rsid w:val="006A11CA"/>
    <w:rsid w:val="006A3DA1"/>
    <w:rsid w:val="006B098C"/>
    <w:rsid w:val="006E3052"/>
    <w:rsid w:val="006F00D5"/>
    <w:rsid w:val="00783DBA"/>
    <w:rsid w:val="007D3049"/>
    <w:rsid w:val="00804828"/>
    <w:rsid w:val="00815CAA"/>
    <w:rsid w:val="008310E8"/>
    <w:rsid w:val="00832C0C"/>
    <w:rsid w:val="0086777C"/>
    <w:rsid w:val="008B5B9B"/>
    <w:rsid w:val="008E2F16"/>
    <w:rsid w:val="009135E1"/>
    <w:rsid w:val="00920A2D"/>
    <w:rsid w:val="00973998"/>
    <w:rsid w:val="009B6112"/>
    <w:rsid w:val="009D4422"/>
    <w:rsid w:val="009D473B"/>
    <w:rsid w:val="009F192C"/>
    <w:rsid w:val="00A13775"/>
    <w:rsid w:val="00A3121C"/>
    <w:rsid w:val="00A56C6C"/>
    <w:rsid w:val="00B05191"/>
    <w:rsid w:val="00B2204D"/>
    <w:rsid w:val="00B41B9F"/>
    <w:rsid w:val="00B45A41"/>
    <w:rsid w:val="00BC10DF"/>
    <w:rsid w:val="00BC7641"/>
    <w:rsid w:val="00C33841"/>
    <w:rsid w:val="00C87137"/>
    <w:rsid w:val="00C9397F"/>
    <w:rsid w:val="00C97BAF"/>
    <w:rsid w:val="00D05224"/>
    <w:rsid w:val="00D5561A"/>
    <w:rsid w:val="00D92061"/>
    <w:rsid w:val="00DA443F"/>
    <w:rsid w:val="00DB563F"/>
    <w:rsid w:val="00E02937"/>
    <w:rsid w:val="00E049DB"/>
    <w:rsid w:val="00E46A13"/>
    <w:rsid w:val="00E5496A"/>
    <w:rsid w:val="00E72511"/>
    <w:rsid w:val="00EA368E"/>
    <w:rsid w:val="00ED5873"/>
    <w:rsid w:val="00F31A80"/>
    <w:rsid w:val="00F40E3B"/>
    <w:rsid w:val="00F51301"/>
    <w:rsid w:val="00F56112"/>
    <w:rsid w:val="00FA4D0E"/>
    <w:rsid w:val="00FC5228"/>
    <w:rsid w:val="00FF3CD3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B03D5-32A9-4029-8C69-D165357D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Sadowska Małgorzata (ANW)</cp:lastModifiedBy>
  <cp:revision>2</cp:revision>
  <cp:lastPrinted>2021-03-19T10:53:00Z</cp:lastPrinted>
  <dcterms:created xsi:type="dcterms:W3CDTF">2024-10-09T12:32:00Z</dcterms:created>
  <dcterms:modified xsi:type="dcterms:W3CDTF">2024-10-09T12:32:00Z</dcterms:modified>
</cp:coreProperties>
</file>